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30/65-2026-036</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Neubau Grundschule Grebben/Aufzugsanlage</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as 2-geschossige Gebäudetragwerk wird in Stahlbeton geplant. Die
innenliegenden Flurwände werden in Sichtbeton hergestellt. Die vertikalen
Lasten werden im Wesentlichen ohne Abfangkonstruktionen in die
Gründungsbauteile eingeleitet. Sämtliche Treppenhäuser und
Erschließungsschächte werden als gebäudeaussteifende Kerne in
Massivbauweise geplant. Über die Deckenscheiben werden die
Horizontallasten geschossweise in die Wandscheiben weitergeleitet. Der
große Mensabereich kann ohne Unterzüge realisiert werden, die
Geschossdecke wird über Rundstützen im EG und dem wandartigen Träger
im OG abgefangen.
Bauabschnitte
Die Umsetzung erfolgt in 2 Bauabschnitten. Der Neubau wird auf dem
nördlichen Grundstücksteil erstellt. Während der Bauphase wird das südliche
Grundstücksteil mit dem Bestandgebäude durch einen Bauzaun abgetrennt.
Die Zugänge zur Bestandsschule und der Sporthalle sind frei zugänglich.
Nach Fertigstellung des Neubaus erfolgt der Abriss des Bestandsgebäudes
und die Ergänzung der südlichen Freiflächen.
Kennzahlen
BGF Bruttogeschossfläche: ca. 3.541m2
BRI Bruttorauminhalt: ca. 15.639m3</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